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Times New Roman" w:cs="Times New Roman" w:eastAsia="Times New Roman" w:hAnsi="Times New Roman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rtl w:val="0"/>
        </w:rPr>
        <w:t xml:space="preserve">Конструкции с нетипичным кодированием экспериенцера в христианском урмийском и других северо-восточных современных арамейских идиомах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6"/>
          <w:szCs w:val="26"/>
          <w:rtl w:val="0"/>
        </w:rPr>
        <w:t xml:space="preserve">1. Введение - коротко про тему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Синтаксические отношения предикативной конструкции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, где экспериенциальный участник</w:t>
      </w:r>
    </w:p>
    <w:p w:rsidR="00000000" w:rsidDel="00000000" w:rsidP="00000000" w:rsidRDefault="00000000" w:rsidRPr="00000000" w14:paraId="00000007">
      <w:pPr>
        <w:ind w:left="0" w:firstLine="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не индексируется на глаголе,  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не получает предложного маркирования 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в большинстве случаев при первом порождении (хотя это актуально не для всех носителей)  - вынесен на левую периферию клаузы. </w:t>
      </w:r>
    </w:p>
    <w:p w:rsidR="00000000" w:rsidDel="00000000" w:rsidP="00000000" w:rsidRDefault="00000000" w:rsidRPr="00000000" w14:paraId="0000000B">
      <w:pPr>
        <w:ind w:left="720" w:firstLine="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highlight w:val="white"/>
          <w:rtl w:val="0"/>
        </w:rPr>
        <w:t xml:space="preserve">Sargon</w:t>
        <w:tab/>
        <w:tab/>
        <w:t xml:space="preserve">xoš-u</w:t>
        <w:tab/>
        <w:tab/>
        <w:t xml:space="preserve">bi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ṭ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highlight w:val="white"/>
          <w:rtl w:val="0"/>
        </w:rPr>
        <w:t xml:space="preserve">ay=əla</w:t>
        <w:tab/>
        <w:tab/>
        <w:tab/>
        <w:t xml:space="preserve">Alisa</w:t>
      </w:r>
    </w:p>
    <w:p w:rsidR="00000000" w:rsidDel="00000000" w:rsidP="00000000" w:rsidRDefault="00000000" w:rsidRPr="00000000" w14:paraId="0000000E">
      <w:pPr>
        <w:ind w:firstLine="720"/>
        <w:rPr>
          <w:rFonts w:ascii="Times New Roman" w:cs="Times New Roman" w:eastAsia="Times New Roman" w:hAnsi="Times New Roman"/>
          <w:color w:val="1f1f1f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highlight w:val="white"/>
          <w:rtl w:val="0"/>
        </w:rPr>
        <w:t xml:space="preserve">Саргон(m)</w:t>
        <w:tab/>
        <w:t xml:space="preserve">счастье-P.3M</w:t>
        <w:tab/>
        <w:t xml:space="preserve">приходить.PROG=3F</w:t>
        <w:tab/>
        <w:tab/>
        <w:t xml:space="preserve">Алиса(f)</w:t>
      </w:r>
    </w:p>
    <w:p w:rsidR="00000000" w:rsidDel="00000000" w:rsidP="00000000" w:rsidRDefault="00000000" w:rsidRPr="00000000" w14:paraId="0000000F">
      <w:pPr>
        <w:ind w:firstLine="720"/>
        <w:rPr>
          <w:rFonts w:ascii="Times New Roman" w:cs="Times New Roman" w:eastAsia="Times New Roman" w:hAnsi="Times New Roman"/>
          <w:b w:val="1"/>
          <w:color w:val="1f1f1f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f1f1f"/>
          <w:sz w:val="24"/>
          <w:szCs w:val="24"/>
          <w:highlight w:val="white"/>
          <w:rtl w:val="0"/>
        </w:rPr>
        <w:t xml:space="preserve">Саргону нравится Алиса.  </w:t>
      </w:r>
    </w:p>
    <w:p w:rsidR="00000000" w:rsidDel="00000000" w:rsidP="00000000" w:rsidRDefault="00000000" w:rsidRPr="00000000" w14:paraId="00000010">
      <w:pPr>
        <w:ind w:firstLine="720"/>
        <w:rPr>
          <w:rFonts w:ascii="Times New Roman" w:cs="Times New Roman" w:eastAsia="Times New Roman" w:hAnsi="Times New Roman"/>
          <w:b w:val="1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720"/>
        <w:rPr>
          <w:rFonts w:ascii="Times New Roman" w:cs="Times New Roman" w:eastAsia="Times New Roman" w:hAnsi="Times New Roman"/>
          <w:b w:val="1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6"/>
          <w:szCs w:val="26"/>
          <w:rtl w:val="0"/>
        </w:rPr>
        <w:t xml:space="preserve">2. Данные от предыдущих исследователей</w:t>
      </w:r>
    </w:p>
    <w:p w:rsidR="00000000" w:rsidDel="00000000" w:rsidP="00000000" w:rsidRDefault="00000000" w:rsidRPr="00000000" w14:paraId="00000015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brata</w:t>
        <w:tab/>
        <w:tab/>
        <w:t xml:space="preserve">riš-o</w:t>
        <w:tab/>
        <w:tab/>
        <w:t xml:space="preserve">+mray=əl</w:t>
      </w:r>
    </w:p>
    <w:p w:rsidR="00000000" w:rsidDel="00000000" w:rsidP="00000000" w:rsidRDefault="00000000" w:rsidRPr="00000000" w14:paraId="00000018">
      <w:pPr>
        <w:ind w:left="720" w:firstLine="0"/>
        <w:jc w:val="left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девочка(f)</w:t>
        <w:tab/>
        <w:t xml:space="preserve">голова-P.3F</w:t>
        <w:tab/>
        <w:t xml:space="preserve">болеть.PROG=3F</w:t>
        <w:tab/>
      </w:r>
    </w:p>
    <w:p w:rsidR="00000000" w:rsidDel="00000000" w:rsidP="00000000" w:rsidRDefault="00000000" w:rsidRPr="00000000" w14:paraId="00000019">
      <w:pPr>
        <w:ind w:left="720" w:firstLine="0"/>
        <w:jc w:val="left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0"/>
        </w:rPr>
        <w:t xml:space="preserve">У девочки болит голова.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[Сай, 2020]</w:t>
      </w:r>
    </w:p>
    <w:p w:rsidR="00000000" w:rsidDel="00000000" w:rsidP="00000000" w:rsidRDefault="00000000" w:rsidRPr="00000000" w14:paraId="0000001A">
      <w:pPr>
        <w:jc w:val="left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‘brata riš-o’ в этом контексте нельзя считать единой именной группой,  потому что</w:t>
      </w:r>
    </w:p>
    <w:p w:rsidR="00000000" w:rsidDel="00000000" w:rsidP="00000000" w:rsidRDefault="00000000" w:rsidRPr="00000000" w14:paraId="0000001D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color w:val="333333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подобная конструкция в семитских языках предполагает порядок слов ‘posessee’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34"/>
          <w:szCs w:val="34"/>
          <w:vertAlign w:val="subscript"/>
          <w:rtl w:val="0"/>
        </w:rPr>
        <w:t xml:space="preserve">(1)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‘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possessor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34"/>
          <w:szCs w:val="34"/>
          <w:vertAlign w:val="subscript"/>
          <w:rtl w:val="0"/>
        </w:rPr>
        <w:t xml:space="preserve">(2)</w:t>
      </w:r>
    </w:p>
    <w:p w:rsidR="00000000" w:rsidDel="00000000" w:rsidP="00000000" w:rsidRDefault="00000000" w:rsidRPr="00000000" w14:paraId="0000001F">
      <w:pPr>
        <w:ind w:left="720" w:firstLine="0"/>
        <w:jc w:val="left"/>
        <w:rPr>
          <w:rFonts w:ascii="Times New Roman" w:cs="Times New Roman" w:eastAsia="Times New Roman" w:hAnsi="Times New Roman"/>
          <w:color w:val="333333"/>
          <w:sz w:val="34"/>
          <w:szCs w:val="34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“такая последовательность  не может реферировать к одному объекту — ‘голове девочки’ — в нейтральных контекстах, где ‘девочка’ заведомо не является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топиком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Эта последовательность нарушает ожидаемые свойства единой именной группы, в частности может разрываться обстоятельствами уровня клаузы, например,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adiyya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‘сейчас’ ”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(см. Сай, 2020)</w:t>
      </w:r>
    </w:p>
    <w:p w:rsidR="00000000" w:rsidDel="00000000" w:rsidP="00000000" w:rsidRDefault="00000000" w:rsidRPr="00000000" w14:paraId="00000021">
      <w:pPr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обычно приименные посессивные отношения, включая отношения части тела и обладателя, выражаются в изучаемых идиомах по-другому — при помощи «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релятора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» ət: </w:t>
      </w:r>
    </w:p>
    <w:p w:rsidR="00000000" w:rsidDel="00000000" w:rsidP="00000000" w:rsidRDefault="00000000" w:rsidRPr="00000000" w14:paraId="00000023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riš=ət</w:t>
        <w:tab/>
        <w:tab/>
        <w:tab/>
        <w:t xml:space="preserve">brata</w:t>
        <w:tab/>
        <w:tab/>
        <w:t xml:space="preserve">+mray=əl</w:t>
      </w:r>
    </w:p>
    <w:p w:rsidR="00000000" w:rsidDel="00000000" w:rsidP="00000000" w:rsidRDefault="00000000" w:rsidRPr="00000000" w14:paraId="00000025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голова(m)=REL</w:t>
        <w:tab/>
        <w:t xml:space="preserve">девочка(f)</w:t>
        <w:tab/>
        <w:t xml:space="preserve">болеть.PROG=3m</w:t>
      </w:r>
    </w:p>
    <w:p w:rsidR="00000000" w:rsidDel="00000000" w:rsidP="00000000" w:rsidRDefault="00000000" w:rsidRPr="00000000" w14:paraId="00000026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 девочки болит голова.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[Сай, 2020]</w:t>
      </w:r>
    </w:p>
    <w:p w:rsidR="00000000" w:rsidDel="00000000" w:rsidP="00000000" w:rsidRDefault="00000000" w:rsidRPr="00000000" w14:paraId="00000027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Конструкция в примере (3) является базовым способом выразить значение                   ‘У X-а болит Y’ - по крайней мере, для большинства носителей урмийского.</w:t>
      </w:r>
    </w:p>
    <w:p w:rsidR="00000000" w:rsidDel="00000000" w:rsidP="00000000" w:rsidRDefault="00000000" w:rsidRPr="00000000" w14:paraId="0000002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Примечательно, что в подобных (1,2)  конструкциях отсутствует просодическая граница между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участником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участником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 Дж.Кхан в своем описании урмийского выделяет два типа конструкций с экстрапозицией, и их различение проходит именно по наличию/отсутствию просодической границы между клаузой и вынесенным участником.  </w:t>
      </w:r>
    </w:p>
    <w:p w:rsidR="00000000" w:rsidDel="00000000" w:rsidP="00000000" w:rsidRDefault="00000000" w:rsidRPr="00000000" w14:paraId="0000002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 по Кхану в конструкциях с экстрапозицией участника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без просодической границы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вынесенный участник близок по своим свойствам к грамматическому субъекту, тогда как в конструкциях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c выраженной просодической границей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его роль ограничена статусом топика. </w:t>
      </w:r>
    </w:p>
    <w:p w:rsidR="00000000" w:rsidDel="00000000" w:rsidP="00000000" w:rsidRDefault="00000000" w:rsidRPr="00000000" w14:paraId="0000002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 свойств, замеченных Кханом, которые приближают вынесенного участника к подлежащему, можно выделить возможность выноса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нереферентной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ИГ; и выноса вопросительной частицы</w:t>
      </w:r>
    </w:p>
    <w:p w:rsidR="00000000" w:rsidDel="00000000" w:rsidP="00000000" w:rsidRDefault="00000000" w:rsidRPr="00000000" w14:paraId="0000002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hə́č</w:t>
        <w:tab/>
        <w:tab/>
        <w:t xml:space="preserve">náša</w:t>
        <w:tab/>
        <w:tab/>
        <w:t xml:space="preserve">lə́bb-u</w:t>
        <w:tab/>
        <w:tab/>
        <w:tab/>
        <w:t xml:space="preserve">lé</w:t>
        <w:tab/>
        <w:t xml:space="preserve">+ṭáləb</w:t>
        <w:tab/>
        <w:tab/>
        <w:t xml:space="preserve">šárva</w:t>
        <w:tab/>
      </w:r>
    </w:p>
    <w:p w:rsidR="00000000" w:rsidDel="00000000" w:rsidP="00000000" w:rsidRDefault="00000000" w:rsidRPr="00000000" w14:paraId="0000002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никакой</w:t>
        <w:tab/>
        <w:t xml:space="preserve">человек(m)</w:t>
        <w:tab/>
        <w:t xml:space="preserve">сердце(m)-P.3M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NEG2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просить.PRS</w:t>
        <w:tab/>
        <w:t xml:space="preserve">суп(f)</w:t>
      </w:r>
    </w:p>
    <w:p w:rsidR="00000000" w:rsidDel="00000000" w:rsidP="00000000" w:rsidRDefault="00000000" w:rsidRPr="00000000" w14:paraId="00000030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k̭ə̀šta</w:t>
      </w:r>
    </w:p>
    <w:p w:rsidR="00000000" w:rsidDel="00000000" w:rsidP="00000000" w:rsidRDefault="00000000" w:rsidRPr="00000000" w14:paraId="00000032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холодный.F</w:t>
      </w:r>
    </w:p>
    <w:p w:rsidR="00000000" w:rsidDel="00000000" w:rsidP="00000000" w:rsidRDefault="00000000" w:rsidRPr="00000000" w14:paraId="00000033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Никто не любит холодный суп.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[Khan 2016b, 2v:389]</w:t>
      </w:r>
    </w:p>
    <w:p w:rsidR="00000000" w:rsidDel="00000000" w:rsidP="00000000" w:rsidRDefault="00000000" w:rsidRPr="00000000" w14:paraId="0000003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6"/>
          <w:szCs w:val="26"/>
          <w:rtl w:val="0"/>
        </w:rPr>
        <w:t xml:space="preserve">3. Экспедиция в НН и Казань в июле 2023</w:t>
      </w:r>
    </w:p>
    <w:p w:rsidR="00000000" w:rsidDel="00000000" w:rsidP="00000000" w:rsidRDefault="00000000" w:rsidRPr="00000000" w14:paraId="00000038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6"/>
          <w:szCs w:val="26"/>
          <w:rtl w:val="0"/>
        </w:rPr>
        <w:t xml:space="preserve">3.1 Информация о консультантах и полевых данных</w:t>
      </w:r>
    </w:p>
    <w:p w:rsidR="00000000" w:rsidDel="00000000" w:rsidP="00000000" w:rsidRDefault="00000000" w:rsidRPr="00000000" w14:paraId="00000039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6 консультантов, 5 из них - спикеры урмиджна; 4 полные анкеты_1, 1 анкета_2 и 1 анкета_3</w:t>
      </w:r>
    </w:p>
    <w:p w:rsidR="00000000" w:rsidDel="00000000" w:rsidP="00000000" w:rsidRDefault="00000000" w:rsidRPr="00000000" w14:paraId="0000003A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6"/>
          <w:szCs w:val="26"/>
          <w:rtl w:val="0"/>
        </w:rPr>
        <w:t xml:space="preserve">3.2 Цель исследования, ход работы</w:t>
      </w:r>
    </w:p>
    <w:p w:rsidR="00000000" w:rsidDel="00000000" w:rsidP="00000000" w:rsidRDefault="00000000" w:rsidRPr="00000000" w14:paraId="0000003B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Так как исследования до этого связывали синтаксис с семантикой предиката, было принято решение определить семантический круг данной конструкции. Для этого была написана анкета из 36 стимулов на русском, включающая в себя несколько примерных эквивалентов составных предикатов из словаря и также русские предикаты сферы чувств, мышления и эмоций. Позже анкета была отредактирована в связи со сложностью для носителей выражения некоторых предикатных смыслов и несоответствию некоторых предикатных смыслов нужной конструкции. </w:t>
      </w:r>
    </w:p>
    <w:p w:rsidR="00000000" w:rsidDel="00000000" w:rsidP="00000000" w:rsidRDefault="00000000" w:rsidRPr="00000000" w14:paraId="0000003C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(табличка)</w:t>
      </w:r>
    </w:p>
    <w:p w:rsidR="00000000" w:rsidDel="00000000" w:rsidP="00000000" w:rsidRDefault="00000000" w:rsidRPr="00000000" w14:paraId="0000003D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6"/>
          <w:szCs w:val="26"/>
          <w:rtl w:val="0"/>
        </w:rPr>
        <w:t xml:space="preserve">3.3 Связь конструкции с лексической семантикой</w:t>
      </w:r>
    </w:p>
    <w:p w:rsidR="00000000" w:rsidDel="00000000" w:rsidP="00000000" w:rsidRDefault="00000000" w:rsidRPr="00000000" w14:paraId="0000003E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6"/>
          <w:szCs w:val="26"/>
          <w:rtl w:val="0"/>
        </w:rPr>
        <w:t xml:space="preserve">3.4 Нетипичное кодирование и compound verbs</w:t>
      </w:r>
    </w:p>
    <w:p w:rsidR="00000000" w:rsidDel="00000000" w:rsidP="00000000" w:rsidRDefault="00000000" w:rsidRPr="00000000" w14:paraId="00000040">
      <w:pPr>
        <w:jc w:val="left"/>
        <w:rPr>
          <w:rFonts w:ascii="Times New Roman" w:cs="Times New Roman" w:eastAsia="Times New Roman" w:hAnsi="Times New Roman"/>
          <w:b w:val="1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В дальнейшей работе я буду анализировать два предиката - [xoš atə] – “to like” и [ləbba ɟavəl] “to feel nauseous”. </w:t>
      </w:r>
    </w:p>
    <w:p w:rsidR="00000000" w:rsidDel="00000000" w:rsidP="00000000" w:rsidRDefault="00000000" w:rsidRPr="00000000" w14:paraId="00000042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Общая особенность этих предикатов в том, что у них есть именная часть - “хоš” (курд. счастье, радость) и “ləbba” (сердце)</w:t>
      </w:r>
    </w:p>
    <w:p w:rsidR="00000000" w:rsidDel="00000000" w:rsidP="00000000" w:rsidRDefault="00000000" w:rsidRPr="00000000" w14:paraId="00000043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</w:rPr>
        <w:drawing>
          <wp:inline distB="114300" distT="114300" distL="114300" distR="114300">
            <wp:extent cx="5731200" cy="14859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</w:rPr>
        <w:drawing>
          <wp:inline distB="114300" distT="114300" distL="114300" distR="114300">
            <wp:extent cx="5731200" cy="32893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и они могут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осмысляться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 как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обладаемое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агентивного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 участника.</w:t>
      </w:r>
    </w:p>
    <w:p w:rsidR="00000000" w:rsidDel="00000000" w:rsidP="00000000" w:rsidRDefault="00000000" w:rsidRPr="00000000" w14:paraId="00000049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340.0" w:type="dxa"/>
        <w:jc w:val="left"/>
        <w:tblInd w:w="-8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1035"/>
        <w:gridCol w:w="765"/>
        <w:gridCol w:w="735"/>
        <w:gridCol w:w="885"/>
        <w:gridCol w:w="750"/>
        <w:gridCol w:w="4920"/>
        <w:tblGridChange w:id="0">
          <w:tblGrid>
            <w:gridCol w:w="2250"/>
            <w:gridCol w:w="1035"/>
            <w:gridCol w:w="765"/>
            <w:gridCol w:w="735"/>
            <w:gridCol w:w="885"/>
            <w:gridCol w:w="750"/>
            <w:gridCol w:w="4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Стимул на русском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Основа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 EXP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род EXP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P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стимула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род 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стимула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перевод на NENA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Мне нравится (этот) город.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PROG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ana xoš-i biṭayəla mən da mdita 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mdita xoš-i mayəla 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Мне нравится эта гора.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ana xoš-i biṭayəla mən da +ṱuyra 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+ṱuyra xoš-i mayəl(ə)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Мне нравишься ты.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atən xoš-i mayyət </w:t>
              <w:br w:type="textWrapping"/>
            </w:r>
            <w:r w:rsidDel="00000000" w:rsidR="00000000" w:rsidRPr="00000000">
              <w:rPr>
                <w:rFonts w:ascii="Roboto" w:cs="Roboto" w:eastAsia="Roboto" w:hAnsi="Roboto"/>
                <w:color w:val="1f1f1f"/>
                <w:highlight w:val="white"/>
                <w:rtl w:val="0"/>
              </w:rPr>
              <w:t xml:space="preserve">xoši bitayla mənna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Учителю нравлюсь я.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rabəy mənni xoš-u biṭayəla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Я нравлюсь учителям.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rabəyyə xoš-e biṭayəla mənni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Учительнице нравлюсь я.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rabəytə xoš-o biṭayəla mənni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Тебе нравится город.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atən xoš-ux biṭayəla mən mdita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Тебе нравится эта гора.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atən xoš-u biṭayəla mən da +ṱuyra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Мне понравился этот город.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ana xoš-i ṭíla mən da mdita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Мне понравилась эта гора.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ana xoš-i ṭíla mən da +ṱuyra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Мне понравился ты.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ana xoš-i ṭíla mənnux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atən xoš-i </w:t>
            </w:r>
            <w:r w:rsidDel="00000000" w:rsidR="00000000" w:rsidRPr="00000000">
              <w:rPr>
                <w:rtl w:val="0"/>
              </w:rPr>
              <w:t xml:space="preserve">muyyalux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Учителю понравился/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понравилась я.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tíyy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rabəy xoš-u ṭíla mənni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Учительнице понравился/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понравилась я.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tít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rabəytə xoš-o ṭíla mənni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Учителям понравился я.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rabəyyə xoš-e ṭíla mənni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Тебе понравился этот город.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atən xoš-ux ṭíla mən da mdita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Тебе понравилась гора.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atən xoš-ux ṭíla mən +ṱuyra</w:t>
            </w:r>
          </w:p>
        </w:tc>
      </w:tr>
    </w:tbl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5"/>
        </w:numPr>
        <w:ind w:left="720" w:hanging="36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глагол в застывшей форме</w:t>
      </w:r>
    </w:p>
    <w:p w:rsidR="00000000" w:rsidDel="00000000" w:rsidP="00000000" w:rsidRDefault="00000000" w:rsidRPr="00000000" w14:paraId="000000D7">
      <w:pPr>
        <w:numPr>
          <w:ilvl w:val="0"/>
          <w:numId w:val="5"/>
        </w:numPr>
        <w:ind w:left="720" w:hanging="36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агент. участник маркируется через суффикс на xoš</w:t>
      </w:r>
    </w:p>
    <w:p w:rsidR="00000000" w:rsidDel="00000000" w:rsidP="00000000" w:rsidRDefault="00000000" w:rsidRPr="00000000" w14:paraId="000000D8">
      <w:pPr>
        <w:numPr>
          <w:ilvl w:val="0"/>
          <w:numId w:val="5"/>
        </w:numPr>
        <w:ind w:left="720" w:hanging="36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rtl w:val="0"/>
        </w:rPr>
        <w:t xml:space="preserve">объект - прямой или косвенный? вариативность предлога mən</w:t>
      </w:r>
    </w:p>
    <w:p w:rsidR="00000000" w:rsidDel="00000000" w:rsidP="00000000" w:rsidRDefault="00000000" w:rsidRPr="00000000" w14:paraId="000000D9">
      <w:pPr>
        <w:ind w:left="720" w:firstLine="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720" w:firstLine="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720" w:firstLine="0"/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720" w:firstLine="0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1f1f1f"/>
          <w:sz w:val="20"/>
          <w:szCs w:val="20"/>
          <w:highlight w:val="white"/>
        </w:rPr>
        <w:drawing>
          <wp:inline distB="114300" distT="114300" distL="114300" distR="114300">
            <wp:extent cx="4513892" cy="9777413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3892" cy="977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1f1f1f"/>
          <w:sz w:val="20"/>
          <w:szCs w:val="20"/>
          <w:highlight w:val="white"/>
        </w:rPr>
        <w:drawing>
          <wp:inline distB="114300" distT="114300" distL="114300" distR="114300">
            <wp:extent cx="5731200" cy="27940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1f1f1f"/>
          <w:sz w:val="20"/>
          <w:szCs w:val="20"/>
          <w:highlight w:val="white"/>
        </w:rPr>
        <w:drawing>
          <wp:inline distB="114300" distT="114300" distL="114300" distR="114300">
            <wp:extent cx="5731200" cy="24257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</w:rPr>
        <w:drawing>
          <wp:inline distB="114300" distT="114300" distL="114300" distR="114300">
            <wp:extent cx="5731200" cy="10541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left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720" w:firstLine="0"/>
        <w:rPr>
          <w:rFonts w:ascii="Times New Roman" w:cs="Times New Roman" w:eastAsia="Times New Roman" w:hAnsi="Times New Roman"/>
          <w:color w:val="333333"/>
          <w:sz w:val="26"/>
          <w:szCs w:val="26"/>
        </w:rPr>
      </w:pPr>
      <w:r w:rsidDel="00000000" w:rsidR="00000000" w:rsidRPr="00000000">
        <w:rPr>
          <w:color w:val="1f1f1f"/>
          <w:highlight w:val="white"/>
        </w:rPr>
        <w:drawing>
          <wp:inline distB="114300" distT="114300" distL="114300" distR="114300">
            <wp:extent cx="4562475" cy="630555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30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f1f1f"/>
          <w:highlight w:val="white"/>
        </w:rPr>
        <w:drawing>
          <wp:inline distB="114300" distT="114300" distL="114300" distR="114300">
            <wp:extent cx="5731200" cy="45212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2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